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</w:pPr>
    </w:p>
    <w:p>
      <w:pPr>
        <w:spacing w:before="0" w:after="0" w:line="260" w:lineRule="atLeast"/>
        <w:jc w:val="center"/>
      </w:pP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2-255-2803/2025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0080-01-2024-005615-55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Ханты-Мансийского судебного района Ханты-Мансийского автономного округа-Югры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 при секретаре судебного заседания Копылове С.В.,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Спиридонова С.С., представителя ответчика Серебряковой К.Д., действующей на основании доверенности № 20 от 14.01.2025,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Спиридонова Степана Семеновича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управлению Министерства Российской Федерации по делам гражданской обороны, чрезвычайным ситуациям и ликвидации последствий стихийный бедствий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>о признании права собственности по приобретательной давности на маломерное судно,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 w:line="280" w:lineRule="atLeast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120" w:after="120" w:line="280" w:lineRule="atLeast"/>
        <w:ind w:firstLine="567"/>
        <w:jc w:val="center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Спиридонова Степана Семеновича к Главному управлению Министерства Российской Федерации по делам гражданской обороны, чрезвычайным ситуациям и ликвидации последствий стихийный бедствий по Ханты-Мансийскому автономному округу-Югре о признании права собственности по приобретательн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давности на маломерное судно </w:t>
      </w:r>
      <w:r>
        <w:rPr>
          <w:rFonts w:ascii="Times New Roman" w:eastAsia="Times New Roman" w:hAnsi="Times New Roman" w:cs="Times New Roman"/>
          <w:sz w:val="28"/>
          <w:szCs w:val="28"/>
        </w:rPr>
        <w:t>- отказать.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 w:line="280" w:lineRule="atLeast"/>
        <w:ind w:firstLine="567"/>
        <w:jc w:val="both"/>
      </w:pPr>
    </w:p>
    <w:p>
      <w:pPr>
        <w:spacing w:before="0" w:after="0" w:line="280" w:lineRule="atLeast"/>
        <w:ind w:firstLine="567"/>
        <w:jc w:val="both"/>
      </w:pPr>
    </w:p>
    <w:p>
      <w:pPr>
        <w:spacing w:before="0" w:after="0" w:line="280" w:lineRule="atLeast"/>
        <w:ind w:firstLine="567"/>
        <w:jc w:val="both"/>
      </w:pP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9348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8639-CB61-4ED2-8C7D-E121D0C13DD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